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2" w:firstLineChars="200"/>
        <w:jc w:val="center"/>
        <w:rPr>
          <w:rFonts w:asciiTheme="majorEastAsia" w:hAnsiTheme="majorEastAsia" w:eastAsiaTheme="majorEastAsia"/>
          <w:b/>
          <w:bCs w:val="0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bCs w:val="0"/>
          <w:color w:val="FF0000"/>
          <w:sz w:val="24"/>
          <w:szCs w:val="24"/>
        </w:rPr>
        <w:t>考点8 图文转换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hint="eastAsia" w:asciiTheme="minorEastAsia" w:hAnsiTheme="minorEastAsia"/>
          <w:b w:val="0"/>
          <w:bCs/>
          <w:sz w:val="24"/>
          <w:szCs w:val="24"/>
          <w:lang w:val="en-US" w:eastAsia="zh-CN"/>
        </w:rPr>
        <w:t>[2017天津卷]</w:t>
      </w:r>
      <w:r>
        <w:rPr>
          <w:rFonts w:ascii="Times New Roman" w:hAnsi="Times New Roman" w:cs="宋体"/>
          <w:b w:val="0"/>
          <w:bCs/>
          <w:sz w:val="24"/>
          <w:szCs w:val="24"/>
        </w:rPr>
        <w:t>下面是2006年度和2016年度有关</w:t>
      </w:r>
      <w:r>
        <w:rPr>
          <w:rFonts w:hAnsi="宋体" w:cs="宋体"/>
          <w:b w:val="0"/>
          <w:bCs/>
          <w:sz w:val="24"/>
          <w:szCs w:val="24"/>
        </w:rPr>
        <w:t>“</w:t>
      </w:r>
      <w:r>
        <w:rPr>
          <w:rFonts w:ascii="Times New Roman" w:hAnsi="Times New Roman" w:cs="宋体"/>
          <w:b w:val="0"/>
          <w:bCs/>
          <w:sz w:val="24"/>
          <w:szCs w:val="24"/>
        </w:rPr>
        <w:t>天津旅游</w:t>
      </w:r>
      <w:r>
        <w:rPr>
          <w:rFonts w:hAnsi="宋体" w:cs="宋体"/>
          <w:b w:val="0"/>
          <w:bCs/>
          <w:sz w:val="24"/>
          <w:szCs w:val="24"/>
        </w:rPr>
        <w:t>”</w:t>
      </w:r>
      <w:r>
        <w:rPr>
          <w:rFonts w:ascii="Times New Roman" w:hAnsi="Times New Roman" w:cs="宋体"/>
          <w:b w:val="0"/>
          <w:bCs/>
          <w:sz w:val="24"/>
          <w:szCs w:val="24"/>
        </w:rPr>
        <w:t>的词云图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是根据国内十大旅游网站筛选出的高频词汇生成的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字号越大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表示该词出现的频率越高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关注度就越高</w:t>
      </w:r>
      <w:r>
        <w:rPr>
          <w:rFonts w:ascii="Times New Roman" w:hAnsi="Times New Roman"/>
          <w:b w:val="0"/>
          <w:bCs/>
          <w:sz w:val="24"/>
          <w:szCs w:val="24"/>
        </w:rPr>
        <w:t>。(9</w:t>
      </w:r>
      <w:r>
        <w:rPr>
          <w:rFonts w:ascii="Times New Roman" w:hAnsi="Times New Roman" w:cs="宋体"/>
          <w:b w:val="0"/>
          <w:bCs/>
          <w:sz w:val="24"/>
          <w:szCs w:val="24"/>
        </w:rPr>
        <w:t>分)</w:t>
      </w:r>
    </w:p>
    <w:p>
      <w:pPr>
        <w:pStyle w:val="2"/>
        <w:snapToGrid w:val="0"/>
        <w:spacing w:line="360" w:lineRule="auto"/>
        <w:ind w:firstLine="480" w:firstLineChars="200"/>
        <w:jc w:val="center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fldChar w:fldCharType="begin"/>
      </w:r>
      <w:r>
        <w:rPr>
          <w:rFonts w:ascii="Times New Roman" w:hAnsi="Times New Roman"/>
          <w:b w:val="0"/>
          <w:bCs/>
          <w:sz w:val="24"/>
          <w:szCs w:val="24"/>
        </w:rPr>
        <w:instrText xml:space="preserve">INCLUDEPICTURE"17GKYJ-2.TIF"</w:instrText>
      </w:r>
      <w:r>
        <w:rPr>
          <w:rFonts w:ascii="Times New Roman" w:hAnsi="Times New Roman"/>
          <w:b w:val="0"/>
          <w:bCs/>
          <w:sz w:val="24"/>
          <w:szCs w:val="24"/>
        </w:rPr>
        <w:fldChar w:fldCharType="separate"/>
      </w:r>
      <w:r>
        <w:rPr>
          <w:rFonts w:ascii="Times New Roman" w:hAnsi="Times New Roman"/>
          <w:b w:val="0"/>
          <w:bCs/>
          <w:sz w:val="24"/>
          <w:szCs w:val="24"/>
        </w:rPr>
        <w:drawing>
          <wp:inline distT="0" distB="0" distL="114300" distR="114300">
            <wp:extent cx="2124710" cy="1475105"/>
            <wp:effectExtent l="0" t="0" r="889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24710" cy="147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bCs/>
          <w:sz w:val="24"/>
          <w:szCs w:val="24"/>
        </w:rPr>
        <w:fldChar w:fldCharType="end"/>
      </w:r>
    </w:p>
    <w:p>
      <w:pPr>
        <w:pStyle w:val="2"/>
        <w:snapToGrid w:val="0"/>
        <w:spacing w:line="360" w:lineRule="auto"/>
        <w:ind w:firstLine="480" w:firstLineChars="200"/>
        <w:jc w:val="center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fldChar w:fldCharType="begin"/>
      </w:r>
      <w:r>
        <w:rPr>
          <w:rFonts w:ascii="Times New Roman" w:hAnsi="Times New Roman"/>
          <w:b w:val="0"/>
          <w:bCs/>
          <w:sz w:val="24"/>
          <w:szCs w:val="24"/>
        </w:rPr>
        <w:instrText xml:space="preserve">INCLUDEPICTURE"17GKYJ-3.TIF"</w:instrText>
      </w:r>
      <w:r>
        <w:rPr>
          <w:rFonts w:ascii="Times New Roman" w:hAnsi="Times New Roman"/>
          <w:b w:val="0"/>
          <w:bCs/>
          <w:sz w:val="24"/>
          <w:szCs w:val="24"/>
        </w:rPr>
        <w:fldChar w:fldCharType="separate"/>
      </w:r>
      <w:r>
        <w:rPr>
          <w:rFonts w:ascii="Times New Roman" w:hAnsi="Times New Roman"/>
          <w:b w:val="0"/>
          <w:bCs/>
          <w:sz w:val="24"/>
          <w:szCs w:val="24"/>
        </w:rPr>
        <w:drawing>
          <wp:inline distT="0" distB="0" distL="114300" distR="114300">
            <wp:extent cx="2159635" cy="1477010"/>
            <wp:effectExtent l="0" t="0" r="1206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bCs/>
          <w:sz w:val="24"/>
          <w:szCs w:val="24"/>
        </w:rPr>
        <w:fldChar w:fldCharType="end"/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(1)</w:t>
      </w:r>
      <w:r>
        <w:rPr>
          <w:rFonts w:ascii="Times New Roman" w:hAnsi="Times New Roman" w:cs="宋体"/>
          <w:b w:val="0"/>
          <w:bCs/>
          <w:sz w:val="24"/>
          <w:szCs w:val="24"/>
        </w:rPr>
        <w:t>请对比两幅词云图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简要概括天津旅游十年间发生的变化</w:t>
      </w:r>
      <w:r>
        <w:rPr>
          <w:rFonts w:ascii="Times New Roman" w:hAnsi="Times New Roman"/>
          <w:b w:val="0"/>
          <w:bCs/>
          <w:sz w:val="24"/>
          <w:szCs w:val="24"/>
        </w:rPr>
        <w:t>。(3</w:t>
      </w:r>
      <w:r>
        <w:rPr>
          <w:rFonts w:ascii="Times New Roman" w:hAnsi="Times New Roman" w:cs="宋体"/>
          <w:b w:val="0"/>
          <w:bCs/>
          <w:sz w:val="24"/>
          <w:szCs w:val="24"/>
        </w:rPr>
        <w:t>分)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 w:cs="宋体"/>
          <w:b w:val="0"/>
          <w:bCs/>
          <w:sz w:val="24"/>
          <w:szCs w:val="24"/>
        </w:rPr>
        <w:t>答：</w:t>
      </w:r>
      <w:r>
        <w:rPr>
          <w:rFonts w:ascii="Times New Roman" w:hAnsi="Times New Roman" w:cs="宋体"/>
          <w:b w:val="0"/>
          <w:bCs/>
          <w:sz w:val="24"/>
          <w:szCs w:val="24"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(2)</w:t>
      </w:r>
      <w:r>
        <w:rPr>
          <w:rFonts w:ascii="Times New Roman" w:hAnsi="Times New Roman" w:cs="宋体"/>
          <w:b w:val="0"/>
          <w:bCs/>
          <w:sz w:val="24"/>
          <w:szCs w:val="24"/>
        </w:rPr>
        <w:t>结合2016年度词云图反映的情况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为天津旅游写一段80字左右的宣传推介短文</w:t>
      </w:r>
      <w:r>
        <w:rPr>
          <w:rFonts w:ascii="Times New Roman" w:hAnsi="Times New Roman"/>
          <w:b w:val="0"/>
          <w:bCs/>
          <w:sz w:val="24"/>
          <w:szCs w:val="24"/>
        </w:rPr>
        <w:t>。(6</w:t>
      </w:r>
      <w:r>
        <w:rPr>
          <w:rFonts w:ascii="Times New Roman" w:hAnsi="Times New Roman" w:cs="宋体"/>
          <w:b w:val="0"/>
          <w:bCs/>
          <w:sz w:val="24"/>
          <w:szCs w:val="24"/>
        </w:rPr>
        <w:t>分)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 w:cs="宋体"/>
          <w:b w:val="0"/>
          <w:bCs/>
          <w:sz w:val="24"/>
          <w:szCs w:val="24"/>
        </w:rPr>
        <w:t>答：</w:t>
      </w:r>
      <w:r>
        <w:rPr>
          <w:rFonts w:ascii="Times New Roman" w:hAnsi="Times New Roman" w:cs="宋体"/>
          <w:b w:val="0"/>
          <w:bCs/>
          <w:sz w:val="24"/>
          <w:szCs w:val="24"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sz w:val="24"/>
          <w:szCs w:val="24"/>
          <w:u w:val="single"/>
          <w:lang w:val="en-US" w:eastAsia="zh-CN"/>
        </w:rPr>
        <w:t xml:space="preserve">                                                           </w:t>
      </w:r>
      <w:bookmarkStart w:id="0" w:name="_GoBack"/>
      <w:bookmarkEnd w:id="0"/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/>
          <w:sz w:val="24"/>
          <w:szCs w:val="24"/>
        </w:rPr>
      </w:pPr>
      <w:r>
        <w:rPr>
          <w:rFonts w:ascii="Times New Roman" w:hAnsi="Times New Roman" w:eastAsia="黑体" w:cs="宋体"/>
          <w:b w:val="0"/>
          <w:bCs/>
          <w:sz w:val="24"/>
          <w:szCs w:val="24"/>
        </w:rPr>
        <w:t>解析：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(1)本题考查图文转换的能力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。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先读2006年度</w:t>
      </w:r>
      <w:r>
        <w:rPr>
          <w:rFonts w:hAnsi="宋体" w:cs="宋体"/>
          <w:b w:val="0"/>
          <w:bCs/>
          <w:sz w:val="24"/>
          <w:szCs w:val="24"/>
        </w:rPr>
        <w:t>“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天津旅游</w:t>
      </w:r>
      <w:r>
        <w:rPr>
          <w:rFonts w:hAnsi="宋体" w:cs="宋体"/>
          <w:b w:val="0"/>
          <w:bCs/>
          <w:sz w:val="24"/>
          <w:szCs w:val="24"/>
        </w:rPr>
        <w:t>”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词云图可知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，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字号较大的词语有海河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蓟县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风景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市区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泥人张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古文化街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年画等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。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海河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蓟县等属于自然景观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，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古文化街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年画等属于人文景观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。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二者都属于景观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。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由此可以概括出2006年度天津旅游的特点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。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再读2016年度</w:t>
      </w:r>
      <w:r>
        <w:rPr>
          <w:rFonts w:hAnsi="宋体" w:cs="宋体"/>
          <w:b w:val="0"/>
          <w:bCs/>
          <w:sz w:val="24"/>
          <w:szCs w:val="24"/>
        </w:rPr>
        <w:t>“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天津旅游</w:t>
      </w:r>
      <w:r>
        <w:rPr>
          <w:rFonts w:hAnsi="宋体" w:cs="宋体"/>
          <w:b w:val="0"/>
          <w:bCs/>
          <w:sz w:val="24"/>
          <w:szCs w:val="24"/>
        </w:rPr>
        <w:t>”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词云图可知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，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字号较大的词语有文化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休闲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民俗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特色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相声等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。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文化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相声等属于城市文化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，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侧重于主动体验文化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。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由此可以概括出2016年度天津旅游的特点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/>
          <w:sz w:val="24"/>
          <w:szCs w:val="24"/>
        </w:rPr>
      </w:pPr>
      <w:r>
        <w:rPr>
          <w:rFonts w:ascii="Times New Roman" w:hAnsi="Times New Roman" w:eastAsia="楷体_GB2312"/>
          <w:b w:val="0"/>
          <w:bCs/>
          <w:sz w:val="24"/>
          <w:szCs w:val="24"/>
        </w:rPr>
        <w:t>(2)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本题考查语言表达简明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连贯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得体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，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准确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鲜明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生动的能力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。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先从2016年度</w:t>
      </w:r>
      <w:r>
        <w:rPr>
          <w:rFonts w:hAnsi="宋体" w:cs="宋体"/>
          <w:b w:val="0"/>
          <w:bCs/>
          <w:sz w:val="24"/>
          <w:szCs w:val="24"/>
        </w:rPr>
        <w:t>“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天津旅游</w:t>
      </w:r>
      <w:r>
        <w:rPr>
          <w:rFonts w:hAnsi="宋体" w:cs="宋体"/>
          <w:b w:val="0"/>
          <w:bCs/>
          <w:sz w:val="24"/>
          <w:szCs w:val="24"/>
        </w:rPr>
        <w:t>”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词云图中选出大号词语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，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然后组织文字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。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组织文字时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，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要注意使用修辞手法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，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比如设问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、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拟人等</w:t>
      </w:r>
      <w:r>
        <w:rPr>
          <w:rFonts w:ascii="Times New Roman" w:hAnsi="Times New Roman" w:eastAsia="楷体_GB2312"/>
          <w:b w:val="0"/>
          <w:bCs/>
          <w:sz w:val="24"/>
          <w:szCs w:val="24"/>
        </w:rPr>
        <w:t>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 w:eastAsia="黑体" w:cs="宋体"/>
          <w:b w:val="0"/>
          <w:bCs/>
          <w:sz w:val="24"/>
          <w:szCs w:val="24"/>
        </w:rPr>
        <w:t>答案：</w:t>
      </w:r>
      <w:r>
        <w:rPr>
          <w:rFonts w:ascii="Times New Roman" w:hAnsi="Times New Roman" w:cs="宋体"/>
          <w:b w:val="0"/>
          <w:bCs/>
          <w:sz w:val="24"/>
          <w:szCs w:val="24"/>
        </w:rPr>
        <w:t>(1)例：2006年游人对自然景观和人文景观的关注度较高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侧重景观欣赏；2016年游人对城市文化和民俗特色的关注度较高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侧重文化体验</w:t>
      </w:r>
      <w:r>
        <w:rPr>
          <w:rFonts w:ascii="Times New Roman" w:hAnsi="Times New Roman"/>
          <w:b w:val="0"/>
          <w:bCs/>
          <w:sz w:val="24"/>
          <w:szCs w:val="24"/>
        </w:rPr>
        <w:t>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(2)(</w:t>
      </w:r>
      <w:r>
        <w:rPr>
          <w:rFonts w:ascii="Times New Roman" w:hAnsi="Times New Roman" w:cs="宋体"/>
          <w:b w:val="0"/>
          <w:bCs/>
          <w:sz w:val="24"/>
          <w:szCs w:val="24"/>
        </w:rPr>
        <w:t>示例)到天津看什么？泥人张</w:t>
      </w:r>
      <w:r>
        <w:rPr>
          <w:rFonts w:ascii="Times New Roman" w:hAnsi="Times New Roman"/>
          <w:b w:val="0"/>
          <w:bCs/>
          <w:sz w:val="24"/>
          <w:szCs w:val="24"/>
        </w:rPr>
        <w:t>、</w:t>
      </w:r>
      <w:r>
        <w:rPr>
          <w:rFonts w:ascii="Times New Roman" w:hAnsi="Times New Roman" w:cs="宋体"/>
          <w:b w:val="0"/>
          <w:bCs/>
          <w:sz w:val="24"/>
          <w:szCs w:val="24"/>
        </w:rPr>
        <w:t>杨柳青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都能开你眼界；到天津听什么？自然是别出心裁的相声；到天津吃什么？狗不理</w:t>
      </w:r>
      <w:r>
        <w:rPr>
          <w:rFonts w:ascii="Times New Roman" w:hAnsi="Times New Roman"/>
          <w:b w:val="0"/>
          <w:bCs/>
          <w:sz w:val="24"/>
          <w:szCs w:val="24"/>
        </w:rPr>
        <w:t>。</w:t>
      </w:r>
      <w:r>
        <w:rPr>
          <w:rFonts w:ascii="Times New Roman" w:hAnsi="Times New Roman" w:cs="宋体"/>
          <w:b w:val="0"/>
          <w:bCs/>
          <w:sz w:val="24"/>
          <w:szCs w:val="24"/>
        </w:rPr>
        <w:t>有了看的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听的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吃的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可以说一应俱全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还等什么？准备出发吧</w:t>
      </w:r>
      <w:r>
        <w:rPr>
          <w:rFonts w:ascii="Times New Roman" w:hAnsi="Times New Roman"/>
          <w:b w:val="0"/>
          <w:bCs/>
          <w:sz w:val="24"/>
          <w:szCs w:val="24"/>
        </w:rPr>
        <w:t>，</w:t>
      </w:r>
      <w:r>
        <w:rPr>
          <w:rFonts w:ascii="Times New Roman" w:hAnsi="Times New Roman" w:cs="宋体"/>
          <w:b w:val="0"/>
          <w:bCs/>
          <w:sz w:val="24"/>
          <w:szCs w:val="24"/>
        </w:rPr>
        <w:t>天津正伸出双手欢迎你！</w:t>
      </w:r>
    </w:p>
    <w:p>
      <w:pPr>
        <w:pStyle w:val="2"/>
        <w:tabs>
          <w:tab w:val="left" w:pos="3960"/>
        </w:tabs>
        <w:snapToGrid w:val="0"/>
        <w:spacing w:line="360" w:lineRule="auto"/>
        <w:rPr>
          <w:rFonts w:ascii="Times New Roman" w:hAnsi="Times New Roman" w:cs="宋体"/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4265930</wp:posOffset>
            </wp:positionH>
            <wp:positionV relativeFrom="paragraph">
              <wp:posOffset>227330</wp:posOffset>
            </wp:positionV>
            <wp:extent cx="819150" cy="1225550"/>
            <wp:effectExtent l="0" t="0" r="0" b="12700"/>
            <wp:wrapTight wrapText="bothSides">
              <wp:wrapPolygon>
                <wp:start x="0" y="0"/>
                <wp:lineTo x="0" y="21152"/>
                <wp:lineTo x="21098" y="21152"/>
                <wp:lineTo x="21098" y="0"/>
                <wp:lineTo x="0" y="0"/>
              </wp:wrapPolygon>
            </wp:wrapTight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225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 w:val="0"/>
          <w:bCs/>
          <w:sz w:val="24"/>
          <w:szCs w:val="24"/>
          <w:lang w:val="en-US" w:eastAsia="zh-CN"/>
        </w:rPr>
        <w:t>[2017江苏卷]</w:t>
      </w:r>
      <w:r>
        <w:rPr>
          <w:rFonts w:ascii="Times New Roman" w:hAnsi="Times New Roman" w:cs="宋体"/>
          <w:b w:val="0"/>
          <w:bCs/>
          <w:sz w:val="24"/>
          <w:szCs w:val="24"/>
        </w:rPr>
        <w:t>下列诗句中，与右图漫画的情境最吻合的一项是(3分)(　　)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  <w:sz w:val="24"/>
          <w:szCs w:val="24"/>
        </w:rPr>
      </w:pPr>
      <w:r>
        <w:rPr>
          <w:rFonts w:ascii="Times New Roman" w:hAnsi="Times New Roman" w:cs="宋体"/>
          <w:b w:val="0"/>
          <w:bCs/>
          <w:sz w:val="24"/>
          <w:szCs w:val="24"/>
        </w:rPr>
        <w:t>A．小梅香里黄莺啭，垂柳阴中白马嘶。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  <w:sz w:val="24"/>
          <w:szCs w:val="24"/>
        </w:rPr>
      </w:pPr>
      <w:r>
        <w:rPr>
          <w:rFonts w:ascii="Times New Roman" w:hAnsi="Times New Roman" w:cs="宋体"/>
          <w:b w:val="0"/>
          <w:bCs/>
          <w:sz w:val="24"/>
          <w:szCs w:val="24"/>
        </w:rPr>
        <w:t>B．门外平桥连柳堤，归来晚树黄莺啼。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  <w:sz w:val="24"/>
          <w:szCs w:val="24"/>
        </w:rPr>
      </w:pPr>
      <w:r>
        <w:rPr>
          <w:rFonts w:ascii="Times New Roman" w:hAnsi="Times New Roman" w:cs="宋体"/>
          <w:b w:val="0"/>
          <w:bCs/>
          <w:sz w:val="24"/>
          <w:szCs w:val="24"/>
        </w:rPr>
        <w:t>C．学语莺儿飞未稳，放身斜坠绿杨枝。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  <w:sz w:val="24"/>
          <w:szCs w:val="24"/>
        </w:rPr>
      </w:pPr>
      <w:r>
        <w:rPr>
          <w:rFonts w:ascii="Times New Roman" w:hAnsi="Times New Roman" w:cs="宋体"/>
          <w:b w:val="0"/>
          <w:bCs/>
          <w:sz w:val="24"/>
          <w:szCs w:val="24"/>
        </w:rPr>
        <w:t>D．黄莺久住浑相识，欲别频啼四五声。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  <w:sz w:val="24"/>
          <w:szCs w:val="24"/>
        </w:rPr>
      </w:pPr>
      <w:r>
        <w:rPr>
          <w:rFonts w:ascii="Times New Roman" w:hAnsi="Times New Roman" w:eastAsia="黑体" w:cs="宋体"/>
          <w:b w:val="0"/>
          <w:bCs/>
          <w:sz w:val="24"/>
          <w:szCs w:val="24"/>
        </w:rPr>
        <w:t>解析：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选D　本题考查图文转换的能力。观察漫画可知，漫画中主要有柳树、鸟、拄杖和拿行李的人以及站在船上的人，将漫画内容与诗句相比对。A项，</w:t>
      </w:r>
      <w:r>
        <w:rPr>
          <w:rFonts w:hAnsi="宋体" w:cs="宋体"/>
          <w:b w:val="0"/>
          <w:bCs/>
          <w:sz w:val="24"/>
          <w:szCs w:val="24"/>
        </w:rPr>
        <w:t>“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小梅</w:t>
      </w:r>
      <w:r>
        <w:rPr>
          <w:rFonts w:hAnsi="宋体" w:cs="宋体"/>
          <w:b w:val="0"/>
          <w:bCs/>
          <w:sz w:val="24"/>
          <w:szCs w:val="24"/>
        </w:rPr>
        <w:t>”“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白马嘶</w:t>
      </w:r>
      <w:r>
        <w:rPr>
          <w:rFonts w:hAnsi="宋体" w:cs="宋体"/>
          <w:b w:val="0"/>
          <w:bCs/>
          <w:sz w:val="24"/>
          <w:szCs w:val="24"/>
        </w:rPr>
        <w:t>”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与画面不吻合。B项，</w:t>
      </w:r>
      <w:r>
        <w:rPr>
          <w:rFonts w:hAnsi="宋体" w:cs="宋体"/>
          <w:b w:val="0"/>
          <w:bCs/>
          <w:sz w:val="24"/>
          <w:szCs w:val="24"/>
        </w:rPr>
        <w:t>“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门</w:t>
      </w:r>
      <w:r>
        <w:rPr>
          <w:rFonts w:hAnsi="宋体" w:cs="宋体"/>
          <w:b w:val="0"/>
          <w:bCs/>
          <w:sz w:val="24"/>
          <w:szCs w:val="24"/>
        </w:rPr>
        <w:t>”“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平桥</w:t>
      </w:r>
      <w:r>
        <w:rPr>
          <w:rFonts w:hAnsi="宋体" w:cs="宋体"/>
          <w:b w:val="0"/>
          <w:bCs/>
          <w:sz w:val="24"/>
          <w:szCs w:val="24"/>
        </w:rPr>
        <w:t>”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与画面不吻合。C项，漫画中的黄莺停在树上，没有</w:t>
      </w:r>
      <w:r>
        <w:rPr>
          <w:rFonts w:hAnsi="宋体" w:cs="宋体"/>
          <w:b w:val="0"/>
          <w:bCs/>
          <w:sz w:val="24"/>
          <w:szCs w:val="24"/>
        </w:rPr>
        <w:t>“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放身斜坠</w:t>
      </w:r>
      <w:r>
        <w:rPr>
          <w:rFonts w:hAnsi="宋体" w:cs="宋体"/>
          <w:b w:val="0"/>
          <w:bCs/>
          <w:sz w:val="24"/>
          <w:szCs w:val="24"/>
        </w:rPr>
        <w:t>”</w:t>
      </w:r>
      <w:r>
        <w:rPr>
          <w:rFonts w:ascii="Times New Roman" w:hAnsi="Times New Roman" w:eastAsia="楷体_GB2312" w:cs="宋体"/>
          <w:b w:val="0"/>
          <w:bCs/>
          <w:sz w:val="24"/>
          <w:szCs w:val="24"/>
        </w:rPr>
        <w:t>。</w:t>
      </w:r>
    </w:p>
    <w:p>
      <w:pPr>
        <w:ind w:firstLine="480" w:firstLineChars="200"/>
        <w:rPr>
          <w:rFonts w:hint="eastAsia" w:asciiTheme="minorEastAsia" w:hAnsiTheme="minorEastAsia"/>
          <w:b w:val="0"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-ExtB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汉真广标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Times New Roman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汉真广标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IPAPANNEW">
    <w:altName w:val="Segoe UI Light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0B2A"/>
    <w:rsid w:val="001451E0"/>
    <w:rsid w:val="00212970"/>
    <w:rsid w:val="007B0B2A"/>
    <w:rsid w:val="00A253B5"/>
    <w:rsid w:val="00C7025E"/>
    <w:rsid w:val="00D545BA"/>
    <w:rsid w:val="00E617ED"/>
    <w:rsid w:val="00F71A09"/>
    <w:rsid w:val="00F7221E"/>
    <w:rsid w:val="02B9350B"/>
    <w:rsid w:val="0EB671B6"/>
    <w:rsid w:val="10990553"/>
    <w:rsid w:val="2C2102DD"/>
    <w:rsid w:val="3F126978"/>
    <w:rsid w:val="63F55406"/>
    <w:rsid w:val="64CD2B94"/>
    <w:rsid w:val="6F0D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rPr>
      <w:rFonts w:ascii="宋体" w:hAnsi="Courier New"/>
      <w:szCs w:val="21"/>
    </w:rPr>
  </w:style>
  <w:style w:type="paragraph" w:styleId="3">
    <w:name w:val="Balloon Text"/>
    <w:basedOn w:val="1"/>
    <w:link w:val="6"/>
    <w:unhideWhenUsed/>
    <w:qFormat/>
    <w:uiPriority w:val="99"/>
    <w:rPr>
      <w:sz w:val="18"/>
      <w:szCs w:val="18"/>
    </w:rPr>
  </w:style>
  <w:style w:type="character" w:customStyle="1" w:styleId="6">
    <w:name w:val="批注框文本 Char"/>
    <w:basedOn w:val="4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17GKYJ-1.TIF" TargetMode="External"/><Relationship Id="rId8" Type="http://schemas.openxmlformats.org/officeDocument/2006/relationships/image" Target="media/image3.png"/><Relationship Id="rId7" Type="http://schemas.openxmlformats.org/officeDocument/2006/relationships/image" Target="17GKYJ-3.TIF" TargetMode="External"/><Relationship Id="rId6" Type="http://schemas.openxmlformats.org/officeDocument/2006/relationships/image" Target="media/image2.png"/><Relationship Id="rId5" Type="http://schemas.openxmlformats.org/officeDocument/2006/relationships/image" Target="17GKYJ-2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168</Words>
  <Characters>964</Characters>
  <Lines>8</Lines>
  <Paragraphs>2</Paragraphs>
  <ScaleCrop>false</ScaleCrop>
  <LinksUpToDate>false</LinksUpToDate>
  <CharactersWithSpaces>1130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2016-12-30T03:32:00Z</dcterms:created>
  <dc:creator>微软用户</dc:creator>
  <cp:lastModifiedBy>y</cp:lastModifiedBy>
  <dcterms:modified xsi:type="dcterms:W3CDTF">2017-12-07T06:42:37Z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